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A744" w14:textId="77777777" w:rsidR="00B440E8" w:rsidRPr="009837CE" w:rsidRDefault="005A3BC8" w:rsidP="009837CE">
      <w:pPr>
        <w:pStyle w:val="Heading1"/>
        <w:rPr>
          <w:rFonts w:cstheme="majorHAnsi"/>
        </w:rPr>
      </w:pPr>
      <w:bookmarkStart w:id="0" w:name="_Toc213413307"/>
      <w:r w:rsidRPr="009837CE">
        <w:rPr>
          <w:rFonts w:cstheme="majorHAnsi"/>
        </w:rPr>
        <w:t>Health, Safety and Wellbeing Policy</w:t>
      </w:r>
      <w:bookmarkEnd w:id="0"/>
    </w:p>
    <w:p w14:paraId="1734A583" w14:textId="77777777" w:rsidR="00B440E8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Version 3 – November 2025</w:t>
      </w:r>
      <w:r w:rsidRPr="009837CE">
        <w:rPr>
          <w:rFonts w:asciiTheme="majorHAnsi" w:hAnsiTheme="majorHAnsi" w:cstheme="majorHAnsi"/>
        </w:rPr>
        <w:br/>
        <w:t>Next Review Date: November 2026</w:t>
      </w:r>
      <w:r w:rsidRPr="009837CE">
        <w:rPr>
          <w:rFonts w:asciiTheme="majorHAnsi" w:hAnsiTheme="majorHAnsi" w:cstheme="majorHAnsi"/>
        </w:rPr>
        <w:br/>
        <w:t>Approved by: Alison Phillips, Director, Kindred CSR</w:t>
      </w:r>
    </w:p>
    <w:sdt>
      <w:sdtPr>
        <w:rPr>
          <w:lang w:val="en-GB"/>
        </w:rPr>
        <w:id w:val="-160395044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sdtEndPr>
      <w:sdtContent>
        <w:p w14:paraId="5A4925FE" w14:textId="74893E97" w:rsidR="009837CE" w:rsidRDefault="009837CE">
          <w:pPr>
            <w:pStyle w:val="TOCHeading"/>
          </w:pPr>
          <w:r>
            <w:rPr>
              <w:lang w:val="en-GB"/>
            </w:rPr>
            <w:t>Contents</w:t>
          </w:r>
        </w:p>
        <w:p w14:paraId="62218455" w14:textId="20E74759" w:rsidR="009837CE" w:rsidRDefault="009837CE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413307" w:history="1">
            <w:r w:rsidRPr="006D643A">
              <w:rPr>
                <w:rStyle w:val="Hyperlink"/>
                <w:rFonts w:cstheme="majorHAnsi"/>
                <w:noProof/>
              </w:rPr>
              <w:t>Health, Safety and Wellbeing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EA1B9" w14:textId="64203F82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08" w:history="1">
            <w:r w:rsidRPr="006D643A">
              <w:rPr>
                <w:rStyle w:val="Hyperlink"/>
                <w:rFonts w:cstheme="majorHAnsi"/>
                <w:noProof/>
              </w:rPr>
              <w:t>1.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EFED1" w14:textId="332BE8B7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09" w:history="1">
            <w:r w:rsidRPr="006D643A">
              <w:rPr>
                <w:rStyle w:val="Hyperlink"/>
                <w:rFonts w:cstheme="majorHAnsi"/>
                <w:noProof/>
              </w:rPr>
              <w:t>2. Legal and Regulatory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24BC7" w14:textId="1FFCF2B3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0" w:history="1">
            <w:r w:rsidRPr="006D643A">
              <w:rPr>
                <w:rStyle w:val="Hyperlink"/>
                <w:rFonts w:cstheme="majorHAnsi"/>
                <w:noProof/>
              </w:rPr>
              <w:t>3.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1DF71" w14:textId="44108F17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1" w:history="1">
            <w:r w:rsidRPr="006D643A">
              <w:rPr>
                <w:rStyle w:val="Hyperlink"/>
                <w:rFonts w:cstheme="majorHAnsi"/>
                <w:noProof/>
              </w:rPr>
              <w:t>4. Principles and Commitments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5DD33" w14:textId="3825C3F7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2" w:history="1">
            <w:r w:rsidRPr="006D643A">
              <w:rPr>
                <w:rStyle w:val="Hyperlink"/>
                <w:rFonts w:cstheme="majorHAnsi"/>
                <w:noProof/>
              </w:rPr>
              <w:t>5. Aims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3BDA1" w14:textId="54918EE5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3" w:history="1">
            <w:r w:rsidRPr="006D643A">
              <w:rPr>
                <w:rStyle w:val="Hyperlink"/>
                <w:rFonts w:cstheme="majorHAnsi"/>
                <w:noProof/>
              </w:rPr>
              <w:t>6.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E83A3" w14:textId="4A213C89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4" w:history="1">
            <w:r w:rsidRPr="006D643A">
              <w:rPr>
                <w:rStyle w:val="Hyperlink"/>
                <w:rFonts w:cstheme="majorHAnsi"/>
                <w:noProof/>
              </w:rPr>
              <w:t>7. Risk Assessment and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CB5E5" w14:textId="6AE95888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5" w:history="1">
            <w:r w:rsidRPr="006D643A">
              <w:rPr>
                <w:rStyle w:val="Hyperlink"/>
                <w:rFonts w:cstheme="majorHAnsi"/>
                <w:noProof/>
              </w:rPr>
              <w:t>8. Incident Reporting and Investigation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AD613" w14:textId="49880B0A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6" w:history="1">
            <w:r w:rsidRPr="006D643A">
              <w:rPr>
                <w:rStyle w:val="Hyperlink"/>
                <w:rFonts w:cstheme="majorHAnsi"/>
                <w:noProof/>
              </w:rPr>
              <w:t>9. Emergency Preparedness and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8679" w14:textId="72807FDC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7" w:history="1">
            <w:r w:rsidRPr="006D643A">
              <w:rPr>
                <w:rStyle w:val="Hyperlink"/>
                <w:rFonts w:cstheme="majorHAnsi"/>
                <w:noProof/>
              </w:rPr>
              <w:t>10. Training, Communication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A9544" w14:textId="4EB5177E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8" w:history="1">
            <w:r w:rsidRPr="006D643A">
              <w:rPr>
                <w:rStyle w:val="Hyperlink"/>
                <w:rFonts w:cstheme="majorHAnsi"/>
                <w:noProof/>
              </w:rPr>
              <w:t>11. Monitoring, Reporting and KPIs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D2C38" w14:textId="53E1E7D5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19" w:history="1">
            <w:r w:rsidRPr="006D643A">
              <w:rPr>
                <w:rStyle w:val="Hyperlink"/>
                <w:rFonts w:cstheme="majorHAnsi"/>
                <w:noProof/>
              </w:rPr>
              <w:t>12. Continuous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62401" w14:textId="20265BFD" w:rsidR="009837CE" w:rsidRDefault="009837CE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13413320" w:history="1">
            <w:r w:rsidRPr="006D643A">
              <w:rPr>
                <w:rStyle w:val="Hyperlink"/>
                <w:rFonts w:cstheme="majorHAnsi"/>
                <w:noProof/>
              </w:rPr>
              <w:t>13. Related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_Toc213413320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356C4" w14:textId="7AA3AF4E" w:rsidR="009837CE" w:rsidRDefault="009837CE">
          <w:r>
            <w:rPr>
              <w:b/>
              <w:bCs/>
            </w:rPr>
            <w:fldChar w:fldCharType="end"/>
          </w:r>
        </w:p>
      </w:sdtContent>
    </w:sdt>
    <w:p w14:paraId="4F4AA3FA" w14:textId="77777777" w:rsidR="009837CE" w:rsidRPr="009837CE" w:rsidRDefault="009837CE">
      <w:pPr>
        <w:rPr>
          <w:rFonts w:asciiTheme="majorHAnsi" w:hAnsiTheme="majorHAnsi" w:cstheme="majorHAnsi"/>
        </w:rPr>
      </w:pPr>
    </w:p>
    <w:p w14:paraId="59BE42D8" w14:textId="77777777" w:rsidR="00B440E8" w:rsidRPr="009837CE" w:rsidRDefault="005A3BC8">
      <w:pPr>
        <w:pStyle w:val="Heading2"/>
        <w:rPr>
          <w:rFonts w:cstheme="majorHAnsi"/>
        </w:rPr>
      </w:pPr>
      <w:bookmarkStart w:id="1" w:name="_Toc213413308"/>
      <w:r w:rsidRPr="009837CE">
        <w:rPr>
          <w:rFonts w:cstheme="majorHAnsi"/>
        </w:rPr>
        <w:t>1. Policy Statement</w:t>
      </w:r>
      <w:bookmarkEnd w:id="1"/>
    </w:p>
    <w:p w14:paraId="73173168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At Kindred CSR, we are committed to providing and maintaining a safe, healthy, and supportive working environment for all stakeholders — including employees, directors, contractors, freelancers, clients, and visitors. Our aim is not only compliance with legal standards but to promote wellbeing, prevent harm, and foster a proactive health and safety culture in line with our ESG values, B Corp principles, and EcoVadis best practice.</w:t>
      </w:r>
    </w:p>
    <w:p w14:paraId="5BCF53EC" w14:textId="77777777" w:rsidR="00B440E8" w:rsidRPr="009837CE" w:rsidRDefault="005A3BC8">
      <w:pPr>
        <w:pStyle w:val="Heading2"/>
        <w:rPr>
          <w:rFonts w:cstheme="majorHAnsi"/>
        </w:rPr>
      </w:pPr>
      <w:bookmarkStart w:id="2" w:name="_Toc213413309"/>
      <w:r w:rsidRPr="009837CE">
        <w:rPr>
          <w:rFonts w:cstheme="majorHAnsi"/>
        </w:rPr>
        <w:t>2. Legal and Regulatory Framework</w:t>
      </w:r>
      <w:bookmarkEnd w:id="2"/>
    </w:p>
    <w:p w14:paraId="3BD3695D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This policy ensures compliance with the following key UK legislation and guidance:</w:t>
      </w:r>
      <w:r w:rsidRPr="009837CE">
        <w:rPr>
          <w:rFonts w:asciiTheme="majorHAnsi" w:hAnsiTheme="majorHAnsi" w:cstheme="majorHAnsi"/>
        </w:rPr>
        <w:br/>
        <w:t>• Health and Safety at Work Act 1974</w:t>
      </w:r>
      <w:r w:rsidRPr="009837CE">
        <w:rPr>
          <w:rFonts w:asciiTheme="majorHAnsi" w:hAnsiTheme="majorHAnsi" w:cstheme="majorHAnsi"/>
        </w:rPr>
        <w:br/>
        <w:t>• Management of Health and Safety at Work Regulations 1999</w:t>
      </w:r>
      <w:r w:rsidRPr="009837CE">
        <w:rPr>
          <w:rFonts w:asciiTheme="majorHAnsi" w:hAnsiTheme="majorHAnsi" w:cstheme="majorHAnsi"/>
        </w:rPr>
        <w:br/>
        <w:t>• Health and Safety (Display Screen Equipment) Regulations 1992 (as amended)</w:t>
      </w:r>
      <w:r w:rsidRPr="009837CE">
        <w:rPr>
          <w:rFonts w:asciiTheme="majorHAnsi" w:hAnsiTheme="majorHAnsi" w:cstheme="majorHAnsi"/>
        </w:rPr>
        <w:br/>
      </w:r>
      <w:r w:rsidRPr="009837CE">
        <w:rPr>
          <w:rFonts w:asciiTheme="majorHAnsi" w:hAnsiTheme="majorHAnsi" w:cstheme="majorHAnsi"/>
        </w:rPr>
        <w:lastRenderedPageBreak/>
        <w:t>• Reporting of Injuries, Diseases and Dangerous Occurrences Regulations (RIDDOR) 2013</w:t>
      </w:r>
      <w:r w:rsidRPr="009837CE">
        <w:rPr>
          <w:rFonts w:asciiTheme="majorHAnsi" w:hAnsiTheme="majorHAnsi" w:cstheme="majorHAnsi"/>
        </w:rPr>
        <w:br/>
        <w:t>• Equality Act 2010</w:t>
      </w:r>
      <w:r w:rsidRPr="009837CE">
        <w:rPr>
          <w:rFonts w:asciiTheme="majorHAnsi" w:hAnsiTheme="majorHAnsi" w:cstheme="majorHAnsi"/>
        </w:rPr>
        <w:br/>
        <w:t>• Corporate Manslaughter and Corporate Homicide Act 2007</w:t>
      </w:r>
      <w:r w:rsidRPr="009837CE">
        <w:rPr>
          <w:rFonts w:asciiTheme="majorHAnsi" w:hAnsiTheme="majorHAnsi" w:cstheme="majorHAnsi"/>
        </w:rPr>
        <w:br/>
      </w:r>
      <w:r w:rsidRPr="009837CE">
        <w:rPr>
          <w:rFonts w:asciiTheme="majorHAnsi" w:hAnsiTheme="majorHAnsi" w:cstheme="majorHAnsi"/>
        </w:rPr>
        <w:br/>
        <w:t>We also align with:</w:t>
      </w:r>
      <w:r w:rsidRPr="009837CE">
        <w:rPr>
          <w:rFonts w:asciiTheme="majorHAnsi" w:hAnsiTheme="majorHAnsi" w:cstheme="majorHAnsi"/>
        </w:rPr>
        <w:br/>
        <w:t>• ISO 45001:2018 – Occupational Health and Safety Management Systems</w:t>
      </w:r>
      <w:r w:rsidRPr="009837CE">
        <w:rPr>
          <w:rFonts w:asciiTheme="majorHAnsi" w:hAnsiTheme="majorHAnsi" w:cstheme="majorHAnsi"/>
        </w:rPr>
        <w:br/>
        <w:t>• B Corp Workers and Governance Standards (2025)</w:t>
      </w:r>
      <w:r w:rsidRPr="009837CE">
        <w:rPr>
          <w:rFonts w:asciiTheme="majorHAnsi" w:hAnsiTheme="majorHAnsi" w:cstheme="majorHAnsi"/>
        </w:rPr>
        <w:br/>
        <w:t>• EcoVadis Labour &amp; Human Rights, an</w:t>
      </w:r>
      <w:r w:rsidRPr="009837CE">
        <w:rPr>
          <w:rFonts w:asciiTheme="majorHAnsi" w:hAnsiTheme="majorHAnsi" w:cstheme="majorHAnsi"/>
        </w:rPr>
        <w:t>d Sustainable Procurement themes</w:t>
      </w:r>
    </w:p>
    <w:p w14:paraId="387DEC74" w14:textId="77777777" w:rsidR="00B440E8" w:rsidRPr="009837CE" w:rsidRDefault="005A3BC8">
      <w:pPr>
        <w:pStyle w:val="Heading2"/>
        <w:rPr>
          <w:rFonts w:cstheme="majorHAnsi"/>
        </w:rPr>
      </w:pPr>
      <w:bookmarkStart w:id="3" w:name="_Toc213413310"/>
      <w:r w:rsidRPr="009837CE">
        <w:rPr>
          <w:rFonts w:cstheme="majorHAnsi"/>
        </w:rPr>
        <w:t>3. Scope</w:t>
      </w:r>
      <w:bookmarkEnd w:id="3"/>
    </w:p>
    <w:p w14:paraId="51E4E58C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This policy applies to all employees, directors, contractors, freelancers, clients, and third parties engaging in Kindred CSR’s business. It covers all home working environments, off-site meetings, events, and client visits, reflecting our 100% remote operations model.</w:t>
      </w:r>
    </w:p>
    <w:p w14:paraId="554709AB" w14:textId="77777777" w:rsidR="00B440E8" w:rsidRPr="009837CE" w:rsidRDefault="005A3BC8">
      <w:pPr>
        <w:pStyle w:val="Heading2"/>
        <w:rPr>
          <w:rFonts w:cstheme="majorHAnsi"/>
        </w:rPr>
      </w:pPr>
      <w:bookmarkStart w:id="4" w:name="_Toc213413311"/>
      <w:r w:rsidRPr="009837CE">
        <w:rPr>
          <w:rFonts w:cstheme="majorHAnsi"/>
        </w:rPr>
        <w:t>4. Principles and Commitments</w:t>
      </w:r>
      <w:bookmarkEnd w:id="4"/>
    </w:p>
    <w:p w14:paraId="214ACED9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Zero Harm: Strive for zero incidents or occupational injuries.</w:t>
      </w:r>
    </w:p>
    <w:p w14:paraId="4DEE199F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Wellbeing: Support physical, mental, and emotional wellbeing through a proactive approach.</w:t>
      </w:r>
    </w:p>
    <w:p w14:paraId="4259CAD8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Prevention: Identify and control hazards through regular risk assessments.</w:t>
      </w:r>
    </w:p>
    <w:p w14:paraId="09C79165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Participation: Encourage engagement and accountability from all stakeholders.</w:t>
      </w:r>
    </w:p>
    <w:p w14:paraId="482189C3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Transparency: Report and learn from all incidents or near misses.</w:t>
      </w:r>
    </w:p>
    <w:p w14:paraId="49AECEE9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Compliance: Meet or exceed all applicable legal and ethical standards.</w:t>
      </w:r>
    </w:p>
    <w:p w14:paraId="5244AF03" w14:textId="77777777" w:rsidR="00B440E8" w:rsidRPr="009837CE" w:rsidRDefault="005A3BC8">
      <w:pPr>
        <w:pStyle w:val="ListBullet"/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Continuous Improvement: Regularly monitor, review, and improve safety performance.</w:t>
      </w:r>
    </w:p>
    <w:p w14:paraId="2FFAF549" w14:textId="77777777" w:rsidR="00B440E8" w:rsidRPr="009837CE" w:rsidRDefault="005A3BC8">
      <w:pPr>
        <w:pStyle w:val="Heading2"/>
        <w:rPr>
          <w:rFonts w:cstheme="majorHAnsi"/>
        </w:rPr>
      </w:pPr>
      <w:bookmarkStart w:id="5" w:name="_Toc213413312"/>
      <w:r w:rsidRPr="009837CE">
        <w:rPr>
          <w:rFonts w:cstheme="majorHAnsi"/>
        </w:rPr>
        <w:t>5. Aims and Objectives</w:t>
      </w:r>
      <w:bookmarkEnd w:id="5"/>
    </w:p>
    <w:p w14:paraId="49A0BA46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Qualitative Objectives:</w:t>
      </w:r>
      <w:r w:rsidRPr="009837CE">
        <w:rPr>
          <w:rFonts w:asciiTheme="majorHAnsi" w:hAnsiTheme="majorHAnsi" w:cstheme="majorHAnsi"/>
        </w:rPr>
        <w:br/>
        <w:t>• Foster a culture of safety, health, and wellbeing.</w:t>
      </w:r>
      <w:r w:rsidRPr="009837CE">
        <w:rPr>
          <w:rFonts w:asciiTheme="majorHAnsi" w:hAnsiTheme="majorHAnsi" w:cstheme="majorHAnsi"/>
        </w:rPr>
        <w:br/>
        <w:t>• Integrate health and safety into all decisions.</w:t>
      </w:r>
      <w:r w:rsidRPr="009837CE">
        <w:rPr>
          <w:rFonts w:asciiTheme="majorHAnsi" w:hAnsiTheme="majorHAnsi" w:cstheme="majorHAnsi"/>
        </w:rPr>
        <w:br/>
        <w:t>• Promote mental health awareness and wellbeing support.</w:t>
      </w:r>
      <w:r w:rsidRPr="009837CE">
        <w:rPr>
          <w:rFonts w:asciiTheme="majorHAnsi" w:hAnsiTheme="majorHAnsi" w:cstheme="majorHAnsi"/>
        </w:rPr>
        <w:br/>
        <w:t>• Apply and communicate consistent incident investigations and actions.</w:t>
      </w:r>
    </w:p>
    <w:p w14:paraId="3616F795" w14:textId="19F0B1B2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Quantitative Objectives (2025</w:t>
      </w:r>
      <w:r w:rsidR="009837CE">
        <w:rPr>
          <w:rFonts w:asciiTheme="majorHAnsi" w:hAnsiTheme="majorHAnsi" w:cstheme="majorHAnsi"/>
        </w:rPr>
        <w:t>-</w:t>
      </w:r>
      <w:r w:rsidRPr="009837CE">
        <w:rPr>
          <w:rFonts w:asciiTheme="majorHAnsi" w:hAnsiTheme="majorHAnsi" w:cstheme="majorHAnsi"/>
        </w:rPr>
        <w:t>2026):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B440E8" w:rsidRPr="009837CE" w14:paraId="36043282" w14:textId="77777777" w:rsidTr="009837CE">
        <w:tc>
          <w:tcPr>
            <w:tcW w:w="2880" w:type="dxa"/>
          </w:tcPr>
          <w:p w14:paraId="2A24D50A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Objective</w:t>
            </w:r>
          </w:p>
        </w:tc>
        <w:tc>
          <w:tcPr>
            <w:tcW w:w="2880" w:type="dxa"/>
          </w:tcPr>
          <w:p w14:paraId="620DA62A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Indicator / Target</w:t>
            </w:r>
          </w:p>
        </w:tc>
        <w:tc>
          <w:tcPr>
            <w:tcW w:w="2880" w:type="dxa"/>
          </w:tcPr>
          <w:p w14:paraId="40AC88AD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Timeline</w:t>
            </w:r>
          </w:p>
        </w:tc>
      </w:tr>
      <w:tr w:rsidR="00B440E8" w:rsidRPr="009837CE" w14:paraId="68922434" w14:textId="77777777" w:rsidTr="009837CE">
        <w:tc>
          <w:tcPr>
            <w:tcW w:w="2880" w:type="dxa"/>
          </w:tcPr>
          <w:p w14:paraId="5A128103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Zero workplace injuries or incidents</w:t>
            </w:r>
          </w:p>
        </w:tc>
        <w:tc>
          <w:tcPr>
            <w:tcW w:w="2880" w:type="dxa"/>
          </w:tcPr>
          <w:p w14:paraId="12EC3D7D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Annual performance review</w:t>
            </w:r>
          </w:p>
        </w:tc>
        <w:tc>
          <w:tcPr>
            <w:tcW w:w="2880" w:type="dxa"/>
          </w:tcPr>
          <w:p w14:paraId="0BFF9F62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Annually</w:t>
            </w:r>
          </w:p>
        </w:tc>
      </w:tr>
      <w:tr w:rsidR="00B440E8" w:rsidRPr="009837CE" w14:paraId="53C268CD" w14:textId="77777777" w:rsidTr="009837CE">
        <w:tc>
          <w:tcPr>
            <w:tcW w:w="2880" w:type="dxa"/>
          </w:tcPr>
          <w:p w14:paraId="4983C22C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Remote working risk assessments completed</w:t>
            </w:r>
          </w:p>
        </w:tc>
        <w:tc>
          <w:tcPr>
            <w:tcW w:w="2880" w:type="dxa"/>
          </w:tcPr>
          <w:p w14:paraId="5EBCDF4F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reviewed</w:t>
            </w:r>
          </w:p>
        </w:tc>
        <w:tc>
          <w:tcPr>
            <w:tcW w:w="2880" w:type="dxa"/>
          </w:tcPr>
          <w:p w14:paraId="0ECFC4ED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Annually</w:t>
            </w:r>
          </w:p>
        </w:tc>
      </w:tr>
      <w:tr w:rsidR="00B440E8" w:rsidRPr="009837CE" w14:paraId="49F7260E" w14:textId="77777777" w:rsidTr="009837CE">
        <w:tc>
          <w:tcPr>
            <w:tcW w:w="2880" w:type="dxa"/>
          </w:tcPr>
          <w:p w14:paraId="643B5CDB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Mandatory health, safety, and wellbeing training</w:t>
            </w:r>
          </w:p>
        </w:tc>
        <w:tc>
          <w:tcPr>
            <w:tcW w:w="2880" w:type="dxa"/>
          </w:tcPr>
          <w:p w14:paraId="54663C56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completion</w:t>
            </w:r>
          </w:p>
        </w:tc>
        <w:tc>
          <w:tcPr>
            <w:tcW w:w="2880" w:type="dxa"/>
          </w:tcPr>
          <w:p w14:paraId="712595F7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Annually</w:t>
            </w:r>
          </w:p>
        </w:tc>
      </w:tr>
      <w:tr w:rsidR="00B440E8" w:rsidRPr="009837CE" w14:paraId="4550374A" w14:textId="77777777" w:rsidTr="009837CE">
        <w:tc>
          <w:tcPr>
            <w:tcW w:w="2880" w:type="dxa"/>
          </w:tcPr>
          <w:p w14:paraId="6AFA4499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lastRenderedPageBreak/>
              <w:t>Near misses or incidents reported within 24 hours</w:t>
            </w:r>
          </w:p>
        </w:tc>
        <w:tc>
          <w:tcPr>
            <w:tcW w:w="2880" w:type="dxa"/>
          </w:tcPr>
          <w:p w14:paraId="1E269BB8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compliance</w:t>
            </w:r>
          </w:p>
        </w:tc>
        <w:tc>
          <w:tcPr>
            <w:tcW w:w="2880" w:type="dxa"/>
          </w:tcPr>
          <w:p w14:paraId="4A309851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Ongoing</w:t>
            </w:r>
          </w:p>
        </w:tc>
      </w:tr>
    </w:tbl>
    <w:p w14:paraId="3165DFE2" w14:textId="77777777" w:rsidR="00B440E8" w:rsidRDefault="005A3BC8">
      <w:pPr>
        <w:pStyle w:val="Heading2"/>
        <w:rPr>
          <w:rFonts w:cstheme="majorHAnsi"/>
        </w:rPr>
      </w:pPr>
      <w:bookmarkStart w:id="6" w:name="_Toc213413313"/>
      <w:r w:rsidRPr="009837CE">
        <w:rPr>
          <w:rFonts w:cstheme="majorHAnsi"/>
        </w:rPr>
        <w:t>6. Roles and Responsibilities</w:t>
      </w:r>
      <w:bookmarkEnd w:id="6"/>
    </w:p>
    <w:p w14:paraId="55015E0B" w14:textId="77777777" w:rsidR="009837CE" w:rsidRPr="009837CE" w:rsidRDefault="009837CE" w:rsidP="009837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440E8" w:rsidRPr="009837CE" w14:paraId="59B4DE2D" w14:textId="77777777" w:rsidTr="009837CE">
        <w:tc>
          <w:tcPr>
            <w:tcW w:w="4320" w:type="dxa"/>
          </w:tcPr>
          <w:p w14:paraId="2C4ABE50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4320" w:type="dxa"/>
          </w:tcPr>
          <w:p w14:paraId="4A73DB67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Responsibilities</w:t>
            </w:r>
          </w:p>
        </w:tc>
      </w:tr>
      <w:tr w:rsidR="00B440E8" w:rsidRPr="009837CE" w14:paraId="3A9BC4E9" w14:textId="77777777" w:rsidTr="009837CE">
        <w:tc>
          <w:tcPr>
            <w:tcW w:w="4320" w:type="dxa"/>
          </w:tcPr>
          <w:p w14:paraId="0ABC436F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Directors (Joint Oversight)</w:t>
            </w:r>
          </w:p>
        </w:tc>
        <w:tc>
          <w:tcPr>
            <w:tcW w:w="4320" w:type="dxa"/>
          </w:tcPr>
          <w:p w14:paraId="7373C00E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Accountable for policy implementation, compliance, and resource allocation.</w:t>
            </w:r>
          </w:p>
        </w:tc>
      </w:tr>
      <w:tr w:rsidR="00B440E8" w:rsidRPr="009837CE" w14:paraId="3A297CC9" w14:textId="77777777" w:rsidTr="009837CE">
        <w:tc>
          <w:tcPr>
            <w:tcW w:w="4320" w:type="dxa"/>
          </w:tcPr>
          <w:p w14:paraId="04DDE0CF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Employee Director (Health &amp; Safety Lead)</w:t>
            </w:r>
          </w:p>
        </w:tc>
        <w:tc>
          <w:tcPr>
            <w:tcW w:w="4320" w:type="dxa"/>
          </w:tcPr>
          <w:p w14:paraId="4F062796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Maintains Health &amp; Safety system, conducts risk assessments, monitors wellbeing, and reports performance.</w:t>
            </w:r>
          </w:p>
        </w:tc>
      </w:tr>
      <w:tr w:rsidR="00B440E8" w:rsidRPr="009837CE" w14:paraId="6363795D" w14:textId="77777777" w:rsidTr="009837CE">
        <w:tc>
          <w:tcPr>
            <w:tcW w:w="4320" w:type="dxa"/>
          </w:tcPr>
          <w:p w14:paraId="64A4F5F2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Employees and Contractors</w:t>
            </w:r>
          </w:p>
        </w:tc>
        <w:tc>
          <w:tcPr>
            <w:tcW w:w="4320" w:type="dxa"/>
          </w:tcPr>
          <w:p w14:paraId="277C3755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Comply with safety guidance, report hazards immediately, and participate in training.</w:t>
            </w:r>
          </w:p>
        </w:tc>
      </w:tr>
      <w:tr w:rsidR="00B440E8" w:rsidRPr="009837CE" w14:paraId="1BBD024C" w14:textId="77777777" w:rsidTr="009837CE">
        <w:tc>
          <w:tcPr>
            <w:tcW w:w="4320" w:type="dxa"/>
          </w:tcPr>
          <w:p w14:paraId="7A33DB8B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Clients and Partners</w:t>
            </w:r>
          </w:p>
        </w:tc>
        <w:tc>
          <w:tcPr>
            <w:tcW w:w="4320" w:type="dxa"/>
          </w:tcPr>
          <w:p w14:paraId="327A5FE1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Uphold equivalent safety standards during collaboration and on shared premises.</w:t>
            </w:r>
          </w:p>
        </w:tc>
      </w:tr>
    </w:tbl>
    <w:p w14:paraId="3D0DE2FE" w14:textId="77777777" w:rsidR="00B440E8" w:rsidRPr="009837CE" w:rsidRDefault="005A3BC8">
      <w:pPr>
        <w:pStyle w:val="Heading2"/>
        <w:rPr>
          <w:rFonts w:cstheme="majorHAnsi"/>
        </w:rPr>
      </w:pPr>
      <w:bookmarkStart w:id="7" w:name="_Toc213413314"/>
      <w:r w:rsidRPr="009837CE">
        <w:rPr>
          <w:rFonts w:cstheme="majorHAnsi"/>
        </w:rPr>
        <w:t>7. Risk Assessment and Control</w:t>
      </w:r>
      <w:bookmarkEnd w:id="7"/>
    </w:p>
    <w:p w14:paraId="58CA0BC1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Regular risk assessments will identify and mitigate hazards. Control measures include ergonomic assessments, stress management, and remote-working safety. All measures will be communicated, documented, and reviewed annually.</w:t>
      </w:r>
    </w:p>
    <w:p w14:paraId="5A31D104" w14:textId="77777777" w:rsidR="00B440E8" w:rsidRPr="009837CE" w:rsidRDefault="005A3BC8">
      <w:pPr>
        <w:pStyle w:val="Heading2"/>
        <w:rPr>
          <w:rFonts w:cstheme="majorHAnsi"/>
        </w:rPr>
      </w:pPr>
      <w:bookmarkStart w:id="8" w:name="_Toc213413315"/>
      <w:r w:rsidRPr="009837CE">
        <w:rPr>
          <w:rFonts w:cstheme="majorHAnsi"/>
        </w:rPr>
        <w:t>8. Incident Reporting and Investigation</w:t>
      </w:r>
      <w:bookmarkEnd w:id="8"/>
    </w:p>
    <w:p w14:paraId="442C617E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All incidents, near misses, or unsafe conditions must be reported immediately to the Health &amp; Safety Lead. Incidents will be reviewed under RIDDOR where applicable and corrective actions implemented to prevent recurrence.</w:t>
      </w:r>
    </w:p>
    <w:p w14:paraId="75A4ECD9" w14:textId="77777777" w:rsidR="00B440E8" w:rsidRPr="009837CE" w:rsidRDefault="005A3BC8">
      <w:pPr>
        <w:pStyle w:val="Heading2"/>
        <w:rPr>
          <w:rFonts w:cstheme="majorHAnsi"/>
        </w:rPr>
      </w:pPr>
      <w:bookmarkStart w:id="9" w:name="_Toc213413316"/>
      <w:r w:rsidRPr="009837CE">
        <w:rPr>
          <w:rFonts w:cstheme="majorHAnsi"/>
        </w:rPr>
        <w:t>9. Emergency Preparedness and Response</w:t>
      </w:r>
      <w:bookmarkEnd w:id="9"/>
    </w:p>
    <w:p w14:paraId="531F2503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Remote workers must maintain personal emergency plans, and follow local procedures when off-site. Emergency contact information and escalation guidance will be made available.</w:t>
      </w:r>
    </w:p>
    <w:p w14:paraId="6CDBB862" w14:textId="77777777" w:rsidR="00B440E8" w:rsidRPr="009837CE" w:rsidRDefault="005A3BC8">
      <w:pPr>
        <w:pStyle w:val="Heading2"/>
        <w:rPr>
          <w:rFonts w:cstheme="majorHAnsi"/>
        </w:rPr>
      </w:pPr>
      <w:bookmarkStart w:id="10" w:name="_Toc213413317"/>
      <w:r w:rsidRPr="009837CE">
        <w:rPr>
          <w:rFonts w:cstheme="majorHAnsi"/>
        </w:rPr>
        <w:t>10. Training, Communication and Engagement</w:t>
      </w:r>
      <w:bookmarkEnd w:id="10"/>
    </w:p>
    <w:p w14:paraId="443D6EB4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Stakeholders will receive role-appropriate training and updates. Wellbeing awareness sessions will be held annually, and communication channels will remain open for reporting concerns confidentially.</w:t>
      </w:r>
    </w:p>
    <w:p w14:paraId="03CCC6D6" w14:textId="77777777" w:rsidR="00B440E8" w:rsidRPr="009837CE" w:rsidRDefault="005A3BC8">
      <w:pPr>
        <w:pStyle w:val="Heading2"/>
        <w:rPr>
          <w:rFonts w:cstheme="majorHAnsi"/>
        </w:rPr>
      </w:pPr>
      <w:bookmarkStart w:id="11" w:name="_Toc213413318"/>
      <w:r w:rsidRPr="009837CE">
        <w:rPr>
          <w:rFonts w:cstheme="majorHAnsi"/>
        </w:rPr>
        <w:t>11. Monitoring, Reporting and KPIs</w:t>
      </w:r>
      <w:bookmarkEnd w:id="11"/>
    </w:p>
    <w:p w14:paraId="61F4B23E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Monitoring involves regular reviews of safety data and wellbeing metrics, with self-assessment against B Corp and EcoVadis standards.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B440E8" w:rsidRPr="009837CE" w14:paraId="7A0B379E" w14:textId="77777777" w:rsidTr="005A3BC8">
        <w:tc>
          <w:tcPr>
            <w:tcW w:w="2880" w:type="dxa"/>
          </w:tcPr>
          <w:p w14:paraId="0366DEB3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lastRenderedPageBreak/>
              <w:t>KPI</w:t>
            </w:r>
          </w:p>
        </w:tc>
        <w:tc>
          <w:tcPr>
            <w:tcW w:w="2880" w:type="dxa"/>
          </w:tcPr>
          <w:p w14:paraId="1C7A3B44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Measurement</w:t>
            </w:r>
          </w:p>
        </w:tc>
        <w:tc>
          <w:tcPr>
            <w:tcW w:w="2880" w:type="dxa"/>
          </w:tcPr>
          <w:p w14:paraId="18406910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Target / Frequency</w:t>
            </w:r>
          </w:p>
        </w:tc>
      </w:tr>
      <w:tr w:rsidR="00B440E8" w:rsidRPr="009837CE" w14:paraId="482D7929" w14:textId="77777777" w:rsidTr="005A3BC8">
        <w:tc>
          <w:tcPr>
            <w:tcW w:w="2880" w:type="dxa"/>
          </w:tcPr>
          <w:p w14:paraId="1B619A11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Workplace incident rate</w:t>
            </w:r>
          </w:p>
        </w:tc>
        <w:tc>
          <w:tcPr>
            <w:tcW w:w="2880" w:type="dxa"/>
          </w:tcPr>
          <w:p w14:paraId="0A6046C9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Number of reportable incidents</w:t>
            </w:r>
          </w:p>
        </w:tc>
        <w:tc>
          <w:tcPr>
            <w:tcW w:w="2880" w:type="dxa"/>
          </w:tcPr>
          <w:p w14:paraId="2A8840DF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0 annually</w:t>
            </w:r>
          </w:p>
        </w:tc>
      </w:tr>
      <w:tr w:rsidR="00B440E8" w:rsidRPr="009837CE" w14:paraId="4C2E3D1C" w14:textId="77777777" w:rsidTr="005A3BC8">
        <w:tc>
          <w:tcPr>
            <w:tcW w:w="2880" w:type="dxa"/>
          </w:tcPr>
          <w:p w14:paraId="138E050C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Training completion rate</w:t>
            </w:r>
          </w:p>
        </w:tc>
        <w:tc>
          <w:tcPr>
            <w:tcW w:w="2880" w:type="dxa"/>
          </w:tcPr>
          <w:p w14:paraId="4A644718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Training records</w:t>
            </w:r>
          </w:p>
        </w:tc>
        <w:tc>
          <w:tcPr>
            <w:tcW w:w="2880" w:type="dxa"/>
          </w:tcPr>
          <w:p w14:paraId="0408443B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annually</w:t>
            </w:r>
          </w:p>
        </w:tc>
      </w:tr>
      <w:tr w:rsidR="00B440E8" w:rsidRPr="009837CE" w14:paraId="1B15FBC8" w14:textId="77777777" w:rsidTr="005A3BC8">
        <w:tc>
          <w:tcPr>
            <w:tcW w:w="2880" w:type="dxa"/>
          </w:tcPr>
          <w:p w14:paraId="7C270907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Risk assessment completion</w:t>
            </w:r>
          </w:p>
        </w:tc>
        <w:tc>
          <w:tcPr>
            <w:tcW w:w="2880" w:type="dxa"/>
          </w:tcPr>
          <w:p w14:paraId="0092593E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% completed</w:t>
            </w:r>
          </w:p>
        </w:tc>
        <w:tc>
          <w:tcPr>
            <w:tcW w:w="2880" w:type="dxa"/>
          </w:tcPr>
          <w:p w14:paraId="09765134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annually</w:t>
            </w:r>
          </w:p>
        </w:tc>
      </w:tr>
      <w:tr w:rsidR="00B440E8" w:rsidRPr="009837CE" w14:paraId="5F852D70" w14:textId="77777777" w:rsidTr="005A3BC8">
        <w:tc>
          <w:tcPr>
            <w:tcW w:w="2880" w:type="dxa"/>
          </w:tcPr>
          <w:p w14:paraId="3568D600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Incident response time</w:t>
            </w:r>
          </w:p>
        </w:tc>
        <w:tc>
          <w:tcPr>
            <w:tcW w:w="2880" w:type="dxa"/>
          </w:tcPr>
          <w:p w14:paraId="11E691E3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Reports submitted within 24 hours</w:t>
            </w:r>
          </w:p>
        </w:tc>
        <w:tc>
          <w:tcPr>
            <w:tcW w:w="2880" w:type="dxa"/>
          </w:tcPr>
          <w:p w14:paraId="55775F05" w14:textId="77777777" w:rsidR="00B440E8" w:rsidRPr="009837CE" w:rsidRDefault="005A3BC8">
            <w:pPr>
              <w:rPr>
                <w:rFonts w:asciiTheme="majorHAnsi" w:hAnsiTheme="majorHAnsi" w:cstheme="majorHAnsi"/>
              </w:rPr>
            </w:pPr>
            <w:r w:rsidRPr="009837CE">
              <w:rPr>
                <w:rFonts w:asciiTheme="majorHAnsi" w:hAnsiTheme="majorHAnsi" w:cstheme="majorHAnsi"/>
              </w:rPr>
              <w:t>100% compliance</w:t>
            </w:r>
          </w:p>
        </w:tc>
      </w:tr>
    </w:tbl>
    <w:p w14:paraId="2937392C" w14:textId="77777777" w:rsidR="005A3BC8" w:rsidRDefault="005A3BC8">
      <w:pPr>
        <w:rPr>
          <w:rFonts w:asciiTheme="majorHAnsi" w:hAnsiTheme="majorHAnsi" w:cstheme="majorHAnsi"/>
        </w:rPr>
      </w:pPr>
    </w:p>
    <w:p w14:paraId="084D6795" w14:textId="277E094B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Results will be reviewed quarterly by Directors and summarised in the Annual ESG &amp; Governance Report. Corrective actions will be tracked until completion.</w:t>
      </w:r>
    </w:p>
    <w:p w14:paraId="1C8B7741" w14:textId="77777777" w:rsidR="00B440E8" w:rsidRPr="009837CE" w:rsidRDefault="005A3BC8">
      <w:pPr>
        <w:pStyle w:val="Heading2"/>
        <w:rPr>
          <w:rFonts w:cstheme="majorHAnsi"/>
        </w:rPr>
      </w:pPr>
      <w:bookmarkStart w:id="12" w:name="_Toc213413319"/>
      <w:r w:rsidRPr="009837CE">
        <w:rPr>
          <w:rFonts w:cstheme="majorHAnsi"/>
        </w:rPr>
        <w:t>12. Continuous Improvement</w:t>
      </w:r>
      <w:bookmarkEnd w:id="12"/>
    </w:p>
    <w:p w14:paraId="2D6AADF7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Kindred CSR commits to continuous improvement through benchmarking against ISO 45001, integrating stakeholder feedback, and updating this policy following new legislation or business changes.</w:t>
      </w:r>
    </w:p>
    <w:p w14:paraId="70A09CCB" w14:textId="77777777" w:rsidR="00B440E8" w:rsidRPr="009837CE" w:rsidRDefault="005A3BC8">
      <w:pPr>
        <w:pStyle w:val="Heading2"/>
        <w:rPr>
          <w:rFonts w:cstheme="majorHAnsi"/>
        </w:rPr>
      </w:pPr>
      <w:bookmarkStart w:id="13" w:name="_Toc213413320"/>
      <w:r w:rsidRPr="009837CE">
        <w:rPr>
          <w:rFonts w:cstheme="majorHAnsi"/>
        </w:rPr>
        <w:t>13. Related Policies</w:t>
      </w:r>
      <w:bookmarkEnd w:id="13"/>
    </w:p>
    <w:p w14:paraId="5CABFD33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t>• Code of Conduct and Ethics</w:t>
      </w:r>
      <w:r w:rsidRPr="009837CE">
        <w:rPr>
          <w:rFonts w:asciiTheme="majorHAnsi" w:hAnsiTheme="majorHAnsi" w:cstheme="majorHAnsi"/>
        </w:rPr>
        <w:br/>
        <w:t>• JEDI (Justice, Equity, Diversity and Inclusion) Policy</w:t>
      </w:r>
      <w:r w:rsidRPr="009837CE">
        <w:rPr>
          <w:rFonts w:asciiTheme="majorHAnsi" w:hAnsiTheme="majorHAnsi" w:cstheme="majorHAnsi"/>
        </w:rPr>
        <w:br/>
        <w:t>• Anti-Bribery, Corruption, Fraud and Economic Crime Policy</w:t>
      </w:r>
      <w:r w:rsidRPr="009837CE">
        <w:rPr>
          <w:rFonts w:asciiTheme="majorHAnsi" w:hAnsiTheme="majorHAnsi" w:cstheme="majorHAnsi"/>
        </w:rPr>
        <w:br/>
        <w:t>• Data Protection and Privacy Policy</w:t>
      </w:r>
      <w:r w:rsidRPr="009837CE">
        <w:rPr>
          <w:rFonts w:asciiTheme="majorHAnsi" w:hAnsiTheme="majorHAnsi" w:cstheme="majorHAnsi"/>
        </w:rPr>
        <w:br/>
        <w:t>• Responsible Sourcing Policy</w:t>
      </w:r>
    </w:p>
    <w:p w14:paraId="4D1D6545" w14:textId="77777777" w:rsidR="00B440E8" w:rsidRPr="009837CE" w:rsidRDefault="005A3BC8">
      <w:pPr>
        <w:rPr>
          <w:rFonts w:asciiTheme="majorHAnsi" w:hAnsiTheme="majorHAnsi" w:cstheme="majorHAnsi"/>
        </w:rPr>
      </w:pPr>
      <w:r w:rsidRPr="009837CE">
        <w:rPr>
          <w:rFonts w:asciiTheme="majorHAnsi" w:hAnsiTheme="majorHAnsi" w:cstheme="majorHAnsi"/>
        </w:rPr>
        <w:br/>
        <w:t>Signed:</w:t>
      </w:r>
      <w:r w:rsidRPr="009837CE">
        <w:rPr>
          <w:rFonts w:asciiTheme="majorHAnsi" w:hAnsiTheme="majorHAnsi" w:cstheme="majorHAnsi"/>
        </w:rPr>
        <w:br/>
        <w:t>Name: Alison Phillips</w:t>
      </w:r>
      <w:r w:rsidRPr="009837CE">
        <w:rPr>
          <w:rFonts w:asciiTheme="majorHAnsi" w:hAnsiTheme="majorHAnsi" w:cstheme="majorHAnsi"/>
        </w:rPr>
        <w:br/>
        <w:t>Position: Director, Kindred CSR</w:t>
      </w:r>
      <w:r w:rsidRPr="009837CE">
        <w:rPr>
          <w:rFonts w:asciiTheme="majorHAnsi" w:hAnsiTheme="majorHAnsi" w:cstheme="majorHAnsi"/>
        </w:rPr>
        <w:br/>
        <w:t>Date: 07 November 2025</w:t>
      </w:r>
    </w:p>
    <w:sectPr w:rsidR="00B440E8" w:rsidRPr="009837C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9EBD" w14:textId="77777777" w:rsidR="009837CE" w:rsidRDefault="009837CE" w:rsidP="009837CE">
      <w:pPr>
        <w:spacing w:after="0" w:line="240" w:lineRule="auto"/>
      </w:pPr>
      <w:r>
        <w:separator/>
      </w:r>
    </w:p>
  </w:endnote>
  <w:endnote w:type="continuationSeparator" w:id="0">
    <w:p w14:paraId="7C063E20" w14:textId="77777777" w:rsidR="009837CE" w:rsidRDefault="009837CE" w:rsidP="0098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B927" w14:textId="77777777" w:rsidR="009837CE" w:rsidRDefault="009837CE" w:rsidP="009837CE">
      <w:pPr>
        <w:spacing w:after="0" w:line="240" w:lineRule="auto"/>
      </w:pPr>
      <w:r>
        <w:separator/>
      </w:r>
    </w:p>
  </w:footnote>
  <w:footnote w:type="continuationSeparator" w:id="0">
    <w:p w14:paraId="172A576D" w14:textId="77777777" w:rsidR="009837CE" w:rsidRDefault="009837CE" w:rsidP="0098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DED3" w14:textId="1532C33C" w:rsidR="009837CE" w:rsidRDefault="009837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896F5" wp14:editId="0DC4475B">
          <wp:simplePos x="0" y="0"/>
          <wp:positionH relativeFrom="column">
            <wp:posOffset>4495800</wp:posOffset>
          </wp:positionH>
          <wp:positionV relativeFrom="paragraph">
            <wp:posOffset>-227330</wp:posOffset>
          </wp:positionV>
          <wp:extent cx="1835150" cy="550545"/>
          <wp:effectExtent l="0" t="0" r="0" b="1905"/>
          <wp:wrapSquare wrapText="bothSides"/>
          <wp:docPr id="180228504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8504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15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2465065">
    <w:abstractNumId w:val="8"/>
  </w:num>
  <w:num w:numId="2" w16cid:durableId="1326973536">
    <w:abstractNumId w:val="6"/>
  </w:num>
  <w:num w:numId="3" w16cid:durableId="1419715821">
    <w:abstractNumId w:val="5"/>
  </w:num>
  <w:num w:numId="4" w16cid:durableId="614751269">
    <w:abstractNumId w:val="4"/>
  </w:num>
  <w:num w:numId="5" w16cid:durableId="2029794504">
    <w:abstractNumId w:val="7"/>
  </w:num>
  <w:num w:numId="6" w16cid:durableId="1141311677">
    <w:abstractNumId w:val="3"/>
  </w:num>
  <w:num w:numId="7" w16cid:durableId="587739465">
    <w:abstractNumId w:val="2"/>
  </w:num>
  <w:num w:numId="8" w16cid:durableId="1676221214">
    <w:abstractNumId w:val="1"/>
  </w:num>
  <w:num w:numId="9" w16cid:durableId="198685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3BC8"/>
    <w:rsid w:val="009837CE"/>
    <w:rsid w:val="00AA1D8D"/>
    <w:rsid w:val="00B440E8"/>
    <w:rsid w:val="00B47730"/>
    <w:rsid w:val="00CB0664"/>
    <w:rsid w:val="00DA4F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7D60E"/>
  <w14:defaultImageDpi w14:val="300"/>
  <w15:docId w15:val="{4BFFB369-AA9F-4717-8A11-C9524D2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837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37C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83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Phillips</cp:lastModifiedBy>
  <cp:revision>2</cp:revision>
  <dcterms:created xsi:type="dcterms:W3CDTF">2025-11-07T13:52:00Z</dcterms:created>
  <dcterms:modified xsi:type="dcterms:W3CDTF">2025-11-07T13:52:00Z</dcterms:modified>
  <cp:category/>
</cp:coreProperties>
</file>